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Центр исторических исследований (Программа российских постдоков)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90 000 рублей до вычета НДФЛ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Санкт-Петербург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Центр исторических исследований.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33333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Трансформация режимов управления разнообразием: политическая принадлежность в социальном и воображаемом пространствах Российской империи.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придать историческую перспективу дискуссиям о гражданстве и подданстве через систематическое исследование моментов изменения практики и дискурса гражданства и подданства в Российской империи во второй половине XIX – начале XX в.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Проанализировать дискурсивные стратегии исторических акторов, использовавшиеся при обосновании «спорных» практик формирования и функционирования границы гражданства-подданства, политику сравнения с нормативными практиками как на пространстве Российской империи, так и в более глобальной перспективе, как в синхроническом, так и в диахроническом контексте.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Преимуществом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кандидата станет уверенное владение английским языком и наличие опубликованных статей в рецензируемых журналах в течение последних двух лет (2021-2022).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известными специалистами-историками;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Работа в историческом центре Санкт-Петербурга;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оборудованного рабочего места в университете;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Доступ к информационным ресурсам, базам данных и электронным подпискам НИУ ВШЭ;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научных и образовательных мероприятиях и программах НИУ ВШЭ;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корпоративного обучения и повышения квалификации.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708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157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1FCY88yrrhTC0ueW6YftP41DZA==">AMUW2mUsduQjy1dtgRIhGI5rDYYjagAvhHipQobHTqeKbfMCy0wppkRZSEKw6VNRxmamxQM9JNeDBQpa7q3JlsUU6mZSFk30bp7wf42BKdTS25tWyWQJgdRGU+ASIIyjgHLwOlc+l3Vd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2022-02-01T11:28:00Z</dcterms:created>
  <dc:creator>Администратор</dc:creator>
</cp:coreProperties>
</file>